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500" w:rsidRPr="00BC3B22" w:rsidRDefault="00E47500" w:rsidP="00E47500">
      <w:pPr>
        <w:jc w:val="both"/>
        <w:rPr>
          <w:rFonts w:ascii="Book Antiqua" w:hAnsi="Book Antiqua"/>
        </w:rPr>
      </w:pPr>
    </w:p>
    <w:p w:rsidR="00BC3B22" w:rsidRPr="00BC3B22" w:rsidRDefault="00BC3B22" w:rsidP="00BC3B22">
      <w:pPr>
        <w:jc w:val="both"/>
        <w:rPr>
          <w:rFonts w:ascii="Book Antiqua" w:hAnsi="Book Antiqua"/>
          <w:b/>
          <w:sz w:val="24"/>
          <w:szCs w:val="24"/>
          <w:u w:val="single"/>
        </w:rPr>
      </w:pPr>
      <w:r w:rsidRPr="00BC3B22">
        <w:rPr>
          <w:rFonts w:ascii="Book Antiqua" w:hAnsi="Book Antiqua"/>
          <w:b/>
          <w:sz w:val="24"/>
          <w:szCs w:val="24"/>
          <w:u w:val="single"/>
        </w:rPr>
        <w:t xml:space="preserve">Table summarising conclusions </w:t>
      </w:r>
      <w:proofErr w:type="gramStart"/>
      <w:r w:rsidRPr="00BC3B22">
        <w:rPr>
          <w:rFonts w:ascii="Book Antiqua" w:hAnsi="Book Antiqua"/>
          <w:b/>
          <w:sz w:val="24"/>
          <w:szCs w:val="24"/>
          <w:u w:val="single"/>
        </w:rPr>
        <w:t xml:space="preserve">of </w:t>
      </w:r>
      <w:r w:rsidRPr="00BC3B22">
        <w:rPr>
          <w:rFonts w:ascii="Book Antiqua" w:hAnsi="Book Antiqua"/>
          <w:b/>
          <w:sz w:val="24"/>
          <w:szCs w:val="24"/>
          <w:u w:val="single"/>
        </w:rPr>
        <w:t xml:space="preserve"> “</w:t>
      </w:r>
      <w:proofErr w:type="gramEnd"/>
      <w:r w:rsidRPr="00BC3B22">
        <w:rPr>
          <w:rFonts w:ascii="Book Antiqua" w:hAnsi="Book Antiqua"/>
          <w:b/>
          <w:sz w:val="24"/>
          <w:szCs w:val="24"/>
          <w:u w:val="single"/>
        </w:rPr>
        <w:t>Costs Protection in Environmental Claims The government response to the consultation on proposals to revise the costs capping scheme for eligible environmental challenges”</w:t>
      </w:r>
      <w:r w:rsidRPr="00BC3B22">
        <w:rPr>
          <w:rFonts w:ascii="Book Antiqua" w:hAnsi="Book Antiqua"/>
          <w:b/>
          <w:sz w:val="24"/>
          <w:szCs w:val="24"/>
          <w:u w:val="single"/>
        </w:rPr>
        <w:t xml:space="preserve"> (November 2016)</w:t>
      </w:r>
    </w:p>
    <w:p w:rsidR="00BC3B22" w:rsidRPr="00BC3B22" w:rsidRDefault="00BC3B22" w:rsidP="00E47500">
      <w:pPr>
        <w:jc w:val="both"/>
        <w:rPr>
          <w:rFonts w:ascii="Book Antiqua" w:hAnsi="Book Antiqua"/>
        </w:rPr>
      </w:pPr>
    </w:p>
    <w:p w:rsidR="00BC3B22" w:rsidRPr="00BC3B22" w:rsidRDefault="00BC3B22" w:rsidP="00E47500">
      <w:pPr>
        <w:jc w:val="both"/>
        <w:rPr>
          <w:rFonts w:ascii="Book Antiqua" w:hAnsi="Book Antiqua"/>
        </w:rPr>
      </w:pPr>
    </w:p>
    <w:tbl>
      <w:tblPr>
        <w:tblStyle w:val="TableGrid"/>
        <w:tblW w:w="0" w:type="auto"/>
        <w:tblLook w:val="04A0" w:firstRow="1" w:lastRow="0" w:firstColumn="1" w:lastColumn="0" w:noHBand="0" w:noVBand="1"/>
      </w:tblPr>
      <w:tblGrid>
        <w:gridCol w:w="3005"/>
        <w:gridCol w:w="3005"/>
        <w:gridCol w:w="3006"/>
      </w:tblGrid>
      <w:tr w:rsidR="00E47500" w:rsidRPr="00BC3B22" w:rsidTr="00E47500">
        <w:tc>
          <w:tcPr>
            <w:tcW w:w="3005" w:type="dxa"/>
          </w:tcPr>
          <w:p w:rsidR="00E47500" w:rsidRPr="00BC3B22" w:rsidRDefault="00E47500" w:rsidP="00E47500">
            <w:pPr>
              <w:jc w:val="both"/>
              <w:rPr>
                <w:rFonts w:ascii="Book Antiqua" w:hAnsi="Book Antiqua"/>
                <w:b/>
                <w:u w:val="single"/>
              </w:rPr>
            </w:pPr>
            <w:r w:rsidRPr="00BC3B22">
              <w:rPr>
                <w:rFonts w:ascii="Book Antiqua" w:hAnsi="Book Antiqua"/>
                <w:b/>
                <w:u w:val="single"/>
              </w:rPr>
              <w:t>Proposed amendment</w:t>
            </w:r>
          </w:p>
        </w:tc>
        <w:tc>
          <w:tcPr>
            <w:tcW w:w="3005" w:type="dxa"/>
          </w:tcPr>
          <w:p w:rsidR="00E47500" w:rsidRPr="00BC3B22" w:rsidRDefault="00E47500" w:rsidP="00E47500">
            <w:pPr>
              <w:jc w:val="both"/>
              <w:rPr>
                <w:rFonts w:ascii="Book Antiqua" w:hAnsi="Book Antiqua"/>
                <w:b/>
                <w:u w:val="single"/>
              </w:rPr>
            </w:pPr>
            <w:r w:rsidRPr="00BC3B22">
              <w:rPr>
                <w:rFonts w:ascii="Book Antiqua" w:hAnsi="Book Antiqua"/>
                <w:b/>
                <w:u w:val="single"/>
              </w:rPr>
              <w:t>Reason for proposal</w:t>
            </w:r>
          </w:p>
        </w:tc>
        <w:tc>
          <w:tcPr>
            <w:tcW w:w="3006" w:type="dxa"/>
          </w:tcPr>
          <w:p w:rsidR="00E47500" w:rsidRPr="00BC3B22" w:rsidRDefault="00E47500" w:rsidP="00E47500">
            <w:pPr>
              <w:jc w:val="both"/>
              <w:rPr>
                <w:rFonts w:ascii="Book Antiqua" w:hAnsi="Book Antiqua"/>
                <w:b/>
                <w:u w:val="single"/>
              </w:rPr>
            </w:pPr>
            <w:r w:rsidRPr="00BC3B22">
              <w:rPr>
                <w:rFonts w:ascii="Book Antiqua" w:hAnsi="Book Antiqua"/>
                <w:b/>
                <w:u w:val="single"/>
              </w:rPr>
              <w:t>Government conclusion</w:t>
            </w:r>
          </w:p>
        </w:tc>
      </w:tr>
      <w:tr w:rsidR="00E47500" w:rsidRPr="00BC3B22" w:rsidTr="00E47500">
        <w:tc>
          <w:tcPr>
            <w:tcW w:w="3005" w:type="dxa"/>
          </w:tcPr>
          <w:p w:rsidR="00E47500" w:rsidRPr="00BC3B22" w:rsidRDefault="00E47500" w:rsidP="00BC3B22">
            <w:pPr>
              <w:jc w:val="both"/>
              <w:rPr>
                <w:rFonts w:ascii="Book Antiqua" w:hAnsi="Book Antiqua"/>
              </w:rPr>
            </w:pPr>
            <w:r w:rsidRPr="00BC3B22">
              <w:rPr>
                <w:rFonts w:ascii="Book Antiqua" w:hAnsi="Book Antiqua"/>
              </w:rPr>
              <w:t xml:space="preserve">(1) </w:t>
            </w:r>
            <w:proofErr w:type="gramStart"/>
            <w:r w:rsidRPr="00BC3B22">
              <w:rPr>
                <w:rFonts w:ascii="Book Antiqua" w:hAnsi="Book Antiqua"/>
              </w:rPr>
              <w:t>extending</w:t>
            </w:r>
            <w:proofErr w:type="gramEnd"/>
            <w:r w:rsidRPr="00BC3B22">
              <w:rPr>
                <w:rFonts w:ascii="Book Antiqua" w:hAnsi="Book Antiqua"/>
              </w:rPr>
              <w:t xml:space="preserve"> scope </w:t>
            </w:r>
            <w:r w:rsidR="00BC3B22">
              <w:rPr>
                <w:rFonts w:ascii="Book Antiqua" w:hAnsi="Book Antiqua"/>
              </w:rPr>
              <w:t xml:space="preserve">of Aarhus costs rules </w:t>
            </w:r>
            <w:r w:rsidRPr="00BC3B22">
              <w:rPr>
                <w:rFonts w:ascii="Book Antiqua" w:hAnsi="Book Antiqua"/>
              </w:rPr>
              <w:t xml:space="preserve">to cover to statutory reviews </w:t>
            </w:r>
            <w:r w:rsidR="00BC3B22">
              <w:rPr>
                <w:rFonts w:ascii="Book Antiqua" w:hAnsi="Book Antiqua"/>
              </w:rPr>
              <w:t xml:space="preserve">(not just judicial reviews) </w:t>
            </w:r>
            <w:r w:rsidRPr="00BC3B22">
              <w:rPr>
                <w:rFonts w:ascii="Book Antiqua" w:hAnsi="Book Antiqua"/>
              </w:rPr>
              <w:t xml:space="preserve">albeit only if fall within Art. 9(2) (challenges to decisions, acts, or omissions concerning the permitting of activities covered by Art. 6 of the Convention - effectively EIA cases) and not Art. 9(3)) cases (challenges to other acts or omissions “by private persons </w:t>
            </w:r>
            <w:r w:rsidRPr="00BC3B22">
              <w:rPr>
                <w:rFonts w:ascii="Book Antiqua" w:hAnsi="Book Antiqua"/>
                <w:i/>
              </w:rPr>
              <w:t>and public authorities which contravene provisions of its national law relating to the environment</w:t>
            </w:r>
            <w:r w:rsidRPr="00BC3B22">
              <w:rPr>
                <w:rFonts w:ascii="Book Antiqua" w:hAnsi="Book Antiqua"/>
              </w:rPr>
              <w:t xml:space="preserve">”)  </w:t>
            </w:r>
          </w:p>
        </w:tc>
        <w:tc>
          <w:tcPr>
            <w:tcW w:w="3005" w:type="dxa"/>
          </w:tcPr>
          <w:p w:rsidR="00E47500" w:rsidRPr="00BC3B22" w:rsidRDefault="00E47500" w:rsidP="00E47500">
            <w:pPr>
              <w:jc w:val="both"/>
              <w:rPr>
                <w:rFonts w:ascii="Book Antiqua" w:hAnsi="Book Antiqua"/>
                <w:b/>
                <w:i/>
              </w:rPr>
            </w:pPr>
            <w:r w:rsidRPr="00BC3B22">
              <w:rPr>
                <w:rFonts w:ascii="Book Antiqua" w:hAnsi="Book Antiqua"/>
              </w:rPr>
              <w:t xml:space="preserve">Seeking to deal with the issue arising from </w:t>
            </w:r>
            <w:r w:rsidRPr="00BC3B22">
              <w:rPr>
                <w:rFonts w:ascii="Book Antiqua" w:hAnsi="Book Antiqua"/>
                <w:b/>
                <w:i/>
              </w:rPr>
              <w:t>Venn v Secretary of State for Communities and Local Government</w:t>
            </w:r>
          </w:p>
          <w:p w:rsidR="00E47500" w:rsidRPr="00BC3B22" w:rsidRDefault="00E47500" w:rsidP="00E47500">
            <w:pPr>
              <w:jc w:val="both"/>
              <w:rPr>
                <w:rFonts w:ascii="Book Antiqua" w:hAnsi="Book Antiqua"/>
              </w:rPr>
            </w:pPr>
            <w:r w:rsidRPr="00BC3B22">
              <w:rPr>
                <w:rFonts w:ascii="Book Antiqua" w:hAnsi="Book Antiqua"/>
              </w:rPr>
              <w:t>[2015] 1 W.L.R. 2328</w:t>
            </w:r>
          </w:p>
        </w:tc>
        <w:tc>
          <w:tcPr>
            <w:tcW w:w="3006" w:type="dxa"/>
          </w:tcPr>
          <w:p w:rsidR="00E47500" w:rsidRPr="00BC3B22" w:rsidRDefault="00E47500" w:rsidP="00E47500">
            <w:pPr>
              <w:jc w:val="both"/>
              <w:rPr>
                <w:rFonts w:ascii="Book Antiqua" w:hAnsi="Book Antiqua"/>
              </w:rPr>
            </w:pPr>
            <w:r w:rsidRPr="00BC3B22">
              <w:rPr>
                <w:rFonts w:ascii="Book Antiqua" w:hAnsi="Book Antiqua"/>
              </w:rPr>
              <w:t>Will extend to Article 9(2) as proposed.</w:t>
            </w:r>
          </w:p>
          <w:p w:rsidR="00BC3B22" w:rsidRDefault="00E47500" w:rsidP="00E47500">
            <w:pPr>
              <w:jc w:val="both"/>
              <w:rPr>
                <w:rFonts w:ascii="Book Antiqua" w:hAnsi="Book Antiqua"/>
              </w:rPr>
            </w:pPr>
            <w:r w:rsidRPr="00BC3B22">
              <w:rPr>
                <w:rFonts w:ascii="Book Antiqua" w:hAnsi="Book Antiqua"/>
              </w:rPr>
              <w:t xml:space="preserve">Will </w:t>
            </w:r>
            <w:r w:rsidRPr="00BC3B22">
              <w:rPr>
                <w:rFonts w:ascii="Book Antiqua" w:hAnsi="Book Antiqua"/>
                <w:u w:val="single"/>
              </w:rPr>
              <w:t>not</w:t>
            </w:r>
            <w:r w:rsidRPr="00BC3B22">
              <w:rPr>
                <w:rFonts w:ascii="Book Antiqua" w:hAnsi="Book Antiqua"/>
              </w:rPr>
              <w:t xml:space="preserve"> extend protection to</w:t>
            </w:r>
            <w:r w:rsidR="00BC3B22">
              <w:rPr>
                <w:rFonts w:ascii="Book Antiqua" w:hAnsi="Book Antiqua"/>
              </w:rPr>
              <w:t>:</w:t>
            </w:r>
          </w:p>
          <w:p w:rsidR="00BC3B22" w:rsidRDefault="00BC3B22" w:rsidP="00E47500">
            <w:pPr>
              <w:jc w:val="both"/>
              <w:rPr>
                <w:rFonts w:ascii="Book Antiqua" w:hAnsi="Book Antiqua"/>
              </w:rPr>
            </w:pPr>
            <w:r>
              <w:rPr>
                <w:rFonts w:ascii="Book Antiqua" w:hAnsi="Book Antiqua"/>
              </w:rPr>
              <w:t>(a)</w:t>
            </w:r>
            <w:r w:rsidR="00E47500" w:rsidRPr="00BC3B22">
              <w:rPr>
                <w:rFonts w:ascii="Book Antiqua" w:hAnsi="Book Antiqua"/>
              </w:rPr>
              <w:t xml:space="preserve"> statutory reviews </w:t>
            </w:r>
            <w:r>
              <w:rPr>
                <w:rFonts w:ascii="Book Antiqua" w:hAnsi="Book Antiqua"/>
              </w:rPr>
              <w:t xml:space="preserve">within </w:t>
            </w:r>
            <w:r w:rsidR="00E47500" w:rsidRPr="00BC3B22">
              <w:rPr>
                <w:rFonts w:ascii="Book Antiqua" w:hAnsi="Book Antiqua"/>
              </w:rPr>
              <w:t>Art 9(3</w:t>
            </w:r>
            <w:r>
              <w:rPr>
                <w:rFonts w:ascii="Book Antiqua" w:hAnsi="Book Antiqua"/>
              </w:rPr>
              <w:t>)</w:t>
            </w:r>
          </w:p>
          <w:p w:rsidR="00E47500" w:rsidRPr="00BC3B22" w:rsidRDefault="00BC3B22" w:rsidP="00E47500">
            <w:pPr>
              <w:jc w:val="both"/>
              <w:rPr>
                <w:rFonts w:ascii="Book Antiqua" w:hAnsi="Book Antiqua"/>
                <w:i/>
              </w:rPr>
            </w:pPr>
            <w:r>
              <w:rPr>
                <w:rFonts w:ascii="Book Antiqua" w:hAnsi="Book Antiqua"/>
              </w:rPr>
              <w:t xml:space="preserve">(b) </w:t>
            </w:r>
            <w:proofErr w:type="gramStart"/>
            <w:r w:rsidR="00E47500" w:rsidRPr="00BC3B22">
              <w:rPr>
                <w:rFonts w:ascii="Book Antiqua" w:hAnsi="Book Antiqua"/>
              </w:rPr>
              <w:t>private</w:t>
            </w:r>
            <w:proofErr w:type="gramEnd"/>
            <w:r w:rsidR="00E47500" w:rsidRPr="00BC3B22">
              <w:rPr>
                <w:rFonts w:ascii="Book Antiqua" w:hAnsi="Book Antiqua"/>
              </w:rPr>
              <w:t xml:space="preserve"> nuisance cases not </w:t>
            </w:r>
            <w:r w:rsidR="00E47500" w:rsidRPr="00BC3B22">
              <w:rPr>
                <w:rFonts w:ascii="Book Antiqua" w:hAnsi="Book Antiqua"/>
                <w:i/>
              </w:rPr>
              <w:t xml:space="preserve">“to cases covering legislation affecting the environment more generally”. </w:t>
            </w:r>
          </w:p>
          <w:p w:rsidR="00E47500" w:rsidRPr="00BC3B22" w:rsidRDefault="00BC3B22" w:rsidP="00BC3B22">
            <w:pPr>
              <w:jc w:val="both"/>
              <w:rPr>
                <w:rFonts w:ascii="Book Antiqua" w:hAnsi="Book Antiqua"/>
              </w:rPr>
            </w:pPr>
            <w:r>
              <w:rPr>
                <w:rFonts w:ascii="Book Antiqua" w:hAnsi="Book Antiqua"/>
              </w:rPr>
              <w:t xml:space="preserve">(c) </w:t>
            </w:r>
            <w:proofErr w:type="gramStart"/>
            <w:r>
              <w:rPr>
                <w:rFonts w:ascii="Book Antiqua" w:hAnsi="Book Antiqua"/>
              </w:rPr>
              <w:t>appeals</w:t>
            </w:r>
            <w:proofErr w:type="gramEnd"/>
            <w:r>
              <w:rPr>
                <w:rFonts w:ascii="Book Antiqua" w:hAnsi="Book Antiqua"/>
              </w:rPr>
              <w:t xml:space="preserve"> to Court of Appeal </w:t>
            </w:r>
            <w:r w:rsidR="00E47500" w:rsidRPr="00BC3B22">
              <w:rPr>
                <w:rFonts w:ascii="Book Antiqua" w:hAnsi="Book Antiqua"/>
              </w:rPr>
              <w:t>and</w:t>
            </w:r>
            <w:r>
              <w:rPr>
                <w:rFonts w:ascii="Book Antiqua" w:hAnsi="Book Antiqua"/>
              </w:rPr>
              <w:t xml:space="preserve"> Supreme Court</w:t>
            </w:r>
            <w:r w:rsidR="00E47500" w:rsidRPr="00BC3B22">
              <w:rPr>
                <w:rFonts w:ascii="Book Antiqua" w:hAnsi="Book Antiqua"/>
              </w:rPr>
              <w:t>.</w:t>
            </w:r>
          </w:p>
        </w:tc>
      </w:tr>
      <w:tr w:rsidR="00E47500" w:rsidRPr="00BC3B22" w:rsidTr="00E47500">
        <w:tc>
          <w:tcPr>
            <w:tcW w:w="3005" w:type="dxa"/>
          </w:tcPr>
          <w:p w:rsidR="00E47500" w:rsidRPr="00BC3B22" w:rsidRDefault="00E47500" w:rsidP="00E47500">
            <w:pPr>
              <w:jc w:val="both"/>
              <w:rPr>
                <w:rFonts w:ascii="Book Antiqua" w:hAnsi="Book Antiqua"/>
              </w:rPr>
            </w:pPr>
            <w:r w:rsidRPr="00BC3B22">
              <w:rPr>
                <w:rFonts w:ascii="Book Antiqua" w:hAnsi="Book Antiqua"/>
              </w:rPr>
              <w:t>(2) limiting costs protection to “members of the public”, e.g. excluding public authorities</w:t>
            </w:r>
          </w:p>
        </w:tc>
        <w:tc>
          <w:tcPr>
            <w:tcW w:w="3005" w:type="dxa"/>
          </w:tcPr>
          <w:p w:rsidR="00E47500" w:rsidRPr="00BC3B22" w:rsidRDefault="00E47500" w:rsidP="00E47500">
            <w:pPr>
              <w:jc w:val="both"/>
              <w:rPr>
                <w:rFonts w:ascii="Book Antiqua" w:hAnsi="Book Antiqua"/>
              </w:rPr>
            </w:pPr>
            <w:r w:rsidRPr="00BC3B22">
              <w:rPr>
                <w:rFonts w:ascii="Book Antiqua" w:hAnsi="Book Antiqua"/>
              </w:rPr>
              <w:t xml:space="preserve">Seeking to deal with the issue arising from </w:t>
            </w:r>
            <w:r w:rsidRPr="00BC3B22">
              <w:rPr>
                <w:rFonts w:ascii="Book Antiqua" w:hAnsi="Book Antiqua"/>
                <w:b/>
                <w:i/>
              </w:rPr>
              <w:t>R. (HS2 Action Alliance Ltd) v Secretary of State for Transport</w:t>
            </w:r>
            <w:r w:rsidRPr="00BC3B22">
              <w:rPr>
                <w:rFonts w:ascii="Book Antiqua" w:hAnsi="Book Antiqua"/>
              </w:rPr>
              <w:t xml:space="preserve"> [2015] P.T.S.R. 1025</w:t>
            </w:r>
          </w:p>
        </w:tc>
        <w:tc>
          <w:tcPr>
            <w:tcW w:w="3006" w:type="dxa"/>
          </w:tcPr>
          <w:p w:rsidR="00E47500" w:rsidRPr="00BC3B22" w:rsidRDefault="00E47500" w:rsidP="00E47500">
            <w:pPr>
              <w:jc w:val="both"/>
              <w:rPr>
                <w:rFonts w:ascii="Book Antiqua" w:hAnsi="Book Antiqua"/>
              </w:rPr>
            </w:pPr>
            <w:r w:rsidRPr="00BC3B22">
              <w:rPr>
                <w:rFonts w:ascii="Book Antiqua" w:hAnsi="Book Antiqua"/>
              </w:rPr>
              <w:t>Will take forward this proposal.</w:t>
            </w:r>
          </w:p>
        </w:tc>
      </w:tr>
      <w:tr w:rsidR="00E47500" w:rsidRPr="00BC3B22" w:rsidTr="00E47500">
        <w:tc>
          <w:tcPr>
            <w:tcW w:w="3005" w:type="dxa"/>
          </w:tcPr>
          <w:p w:rsidR="00E47500" w:rsidRPr="00BC3B22" w:rsidRDefault="00E47500" w:rsidP="00E47500">
            <w:pPr>
              <w:jc w:val="both"/>
              <w:rPr>
                <w:rFonts w:ascii="Book Antiqua" w:hAnsi="Book Antiqua"/>
              </w:rPr>
            </w:pPr>
            <w:r w:rsidRPr="00BC3B22">
              <w:rPr>
                <w:rFonts w:ascii="Book Antiqua" w:hAnsi="Book Antiqua"/>
              </w:rPr>
              <w:t xml:space="preserve">(3) </w:t>
            </w:r>
            <w:r w:rsidRPr="00BC3B22">
              <w:rPr>
                <w:rFonts w:ascii="Book Antiqua" w:hAnsi="Book Antiqua"/>
              </w:rPr>
              <w:t>limiting costs protect</w:t>
            </w:r>
            <w:r w:rsidRPr="00BC3B22">
              <w:rPr>
                <w:rFonts w:ascii="Book Antiqua" w:hAnsi="Book Antiqua"/>
              </w:rPr>
              <w:t>ion to where permission granted</w:t>
            </w:r>
          </w:p>
        </w:tc>
        <w:tc>
          <w:tcPr>
            <w:tcW w:w="3005" w:type="dxa"/>
          </w:tcPr>
          <w:p w:rsidR="00E47500" w:rsidRPr="00BC3B22" w:rsidRDefault="00E47500" w:rsidP="00E47500">
            <w:pPr>
              <w:jc w:val="both"/>
              <w:rPr>
                <w:rFonts w:ascii="Book Antiqua" w:hAnsi="Book Antiqua"/>
              </w:rPr>
            </w:pPr>
          </w:p>
        </w:tc>
        <w:tc>
          <w:tcPr>
            <w:tcW w:w="3006" w:type="dxa"/>
          </w:tcPr>
          <w:p w:rsidR="00E47500" w:rsidRPr="00BC3B22" w:rsidRDefault="00E47500" w:rsidP="00E47500">
            <w:pPr>
              <w:jc w:val="both"/>
              <w:rPr>
                <w:rFonts w:ascii="Book Antiqua" w:hAnsi="Book Antiqua"/>
              </w:rPr>
            </w:pPr>
            <w:r w:rsidRPr="00BC3B22">
              <w:rPr>
                <w:rFonts w:ascii="Book Antiqua" w:hAnsi="Book Antiqua"/>
              </w:rPr>
              <w:t>Will not take forward this proposal.</w:t>
            </w:r>
          </w:p>
        </w:tc>
      </w:tr>
      <w:tr w:rsidR="00E47500" w:rsidRPr="00BC3B22" w:rsidTr="00E47500">
        <w:tc>
          <w:tcPr>
            <w:tcW w:w="3005" w:type="dxa"/>
          </w:tcPr>
          <w:p w:rsidR="00E47500" w:rsidRPr="00BC3B22" w:rsidRDefault="00E47500" w:rsidP="00E47500">
            <w:pPr>
              <w:jc w:val="both"/>
              <w:rPr>
                <w:rFonts w:ascii="Book Antiqua" w:hAnsi="Book Antiqua"/>
              </w:rPr>
            </w:pPr>
            <w:r w:rsidRPr="00BC3B22">
              <w:rPr>
                <w:rFonts w:ascii="Book Antiqua" w:hAnsi="Book Antiqua"/>
              </w:rPr>
              <w:t>(4) instead of fixed caps, having default caps which parties could apply to vary and Court could vary of own motion</w:t>
            </w:r>
          </w:p>
        </w:tc>
        <w:tc>
          <w:tcPr>
            <w:tcW w:w="3005" w:type="dxa"/>
          </w:tcPr>
          <w:p w:rsidR="00E47500" w:rsidRPr="00BC3B22" w:rsidRDefault="00E47500" w:rsidP="00E47500">
            <w:pPr>
              <w:jc w:val="both"/>
              <w:rPr>
                <w:rFonts w:ascii="Book Antiqua" w:hAnsi="Book Antiqua"/>
              </w:rPr>
            </w:pPr>
          </w:p>
        </w:tc>
        <w:tc>
          <w:tcPr>
            <w:tcW w:w="3006" w:type="dxa"/>
          </w:tcPr>
          <w:p w:rsidR="00E47500" w:rsidRPr="00BC3B22" w:rsidRDefault="00E47500" w:rsidP="00E47500">
            <w:pPr>
              <w:jc w:val="both"/>
              <w:rPr>
                <w:rFonts w:ascii="Book Antiqua" w:hAnsi="Book Antiqua"/>
                <w:i/>
              </w:rPr>
            </w:pPr>
            <w:r w:rsidRPr="00BC3B22">
              <w:rPr>
                <w:rFonts w:ascii="Book Antiqua" w:hAnsi="Book Antiqua"/>
                <w:i/>
              </w:rPr>
              <w:t>“</w:t>
            </w:r>
            <w:proofErr w:type="gramStart"/>
            <w:r w:rsidRPr="00BC3B22">
              <w:rPr>
                <w:rFonts w:ascii="Book Antiqua" w:hAnsi="Book Antiqua"/>
                <w:i/>
              </w:rPr>
              <w:t>the</w:t>
            </w:r>
            <w:proofErr w:type="gramEnd"/>
            <w:r w:rsidRPr="00BC3B22">
              <w:rPr>
                <w:rFonts w:ascii="Book Antiqua" w:hAnsi="Book Antiqua"/>
                <w:i/>
              </w:rPr>
              <w:t xml:space="preserve"> government proposes to introduce a power to vary the costs caps, both upward and downward.”</w:t>
            </w:r>
          </w:p>
          <w:p w:rsidR="00A97045" w:rsidRPr="00BC3B22" w:rsidRDefault="00A97045" w:rsidP="00E47500">
            <w:pPr>
              <w:jc w:val="both"/>
              <w:rPr>
                <w:rFonts w:ascii="Book Antiqua" w:hAnsi="Book Antiqua"/>
              </w:rPr>
            </w:pPr>
            <w:r w:rsidRPr="00BC3B22">
              <w:rPr>
                <w:rFonts w:ascii="Book Antiqua" w:hAnsi="Book Antiqua"/>
              </w:rPr>
              <w:t>So fixed-costs-cap model replaced with hybrid model.</w:t>
            </w:r>
          </w:p>
          <w:p w:rsidR="00A97045" w:rsidRPr="00BC3B22" w:rsidRDefault="00A97045" w:rsidP="00E47500">
            <w:pPr>
              <w:jc w:val="both"/>
              <w:rPr>
                <w:rFonts w:ascii="Book Antiqua" w:hAnsi="Book Antiqua"/>
              </w:rPr>
            </w:pPr>
            <w:r w:rsidRPr="00BC3B22">
              <w:rPr>
                <w:rFonts w:ascii="Book Antiqua" w:hAnsi="Book Antiqua"/>
              </w:rPr>
              <w:t>Government accept it is more complex.</w:t>
            </w:r>
          </w:p>
          <w:p w:rsidR="00A97045" w:rsidRPr="00BC3B22" w:rsidRDefault="00A97045" w:rsidP="00E47500">
            <w:pPr>
              <w:jc w:val="both"/>
              <w:rPr>
                <w:rFonts w:ascii="Book Antiqua" w:hAnsi="Book Antiqua"/>
                <w:i/>
              </w:rPr>
            </w:pPr>
            <w:r w:rsidRPr="00BC3B22">
              <w:rPr>
                <w:rFonts w:ascii="Book Antiqua" w:hAnsi="Book Antiqua"/>
                <w:i/>
              </w:rPr>
              <w:t>“</w:t>
            </w:r>
            <w:proofErr w:type="gramStart"/>
            <w:r w:rsidRPr="00BC3B22">
              <w:rPr>
                <w:rFonts w:ascii="Book Antiqua" w:hAnsi="Book Antiqua"/>
                <w:i/>
              </w:rPr>
              <w:t>the</w:t>
            </w:r>
            <w:proofErr w:type="gramEnd"/>
            <w:r w:rsidRPr="00BC3B22">
              <w:rPr>
                <w:rFonts w:ascii="Book Antiqua" w:hAnsi="Book Antiqua"/>
                <w:i/>
              </w:rPr>
              <w:t xml:space="preserve"> draft rules include provision that it should be exceptional for the court to vary the caps to give a claimant more costs protection: the court would have to be satisfied that, without the variation, the costs of the case would be prohibitively expensive for the claimant.”</w:t>
            </w:r>
          </w:p>
        </w:tc>
      </w:tr>
      <w:tr w:rsidR="00E47500" w:rsidRPr="00BC3B22" w:rsidTr="00E47500">
        <w:tc>
          <w:tcPr>
            <w:tcW w:w="3005" w:type="dxa"/>
          </w:tcPr>
          <w:p w:rsidR="00E47500" w:rsidRPr="00BC3B22" w:rsidRDefault="00A97045" w:rsidP="00E47500">
            <w:pPr>
              <w:jc w:val="both"/>
              <w:rPr>
                <w:rFonts w:ascii="Book Antiqua" w:hAnsi="Book Antiqua"/>
                <w:i/>
              </w:rPr>
            </w:pPr>
            <w:r w:rsidRPr="00BC3B22">
              <w:rPr>
                <w:rFonts w:ascii="Book Antiqua" w:hAnsi="Book Antiqua"/>
              </w:rPr>
              <w:t xml:space="preserve">(5) Amend the CPR to require Courts to apply the </w:t>
            </w:r>
            <w:r w:rsidRPr="00BC3B22">
              <w:rPr>
                <w:rFonts w:ascii="Book Antiqua" w:hAnsi="Book Antiqua"/>
                <w:b/>
                <w:i/>
              </w:rPr>
              <w:t xml:space="preserve">Edwards </w:t>
            </w:r>
            <w:r w:rsidRPr="00BC3B22">
              <w:rPr>
                <w:rFonts w:ascii="Book Antiqua" w:hAnsi="Book Antiqua"/>
              </w:rPr>
              <w:t>principles in deciding whether to vary a costs cap.</w:t>
            </w:r>
          </w:p>
        </w:tc>
        <w:tc>
          <w:tcPr>
            <w:tcW w:w="3005" w:type="dxa"/>
          </w:tcPr>
          <w:p w:rsidR="00E47500" w:rsidRPr="00BC3B22" w:rsidRDefault="00E47500" w:rsidP="00E47500">
            <w:pPr>
              <w:jc w:val="both"/>
              <w:rPr>
                <w:rFonts w:ascii="Book Antiqua" w:hAnsi="Book Antiqua"/>
              </w:rPr>
            </w:pPr>
          </w:p>
        </w:tc>
        <w:tc>
          <w:tcPr>
            <w:tcW w:w="3006" w:type="dxa"/>
          </w:tcPr>
          <w:p w:rsidR="00E47500" w:rsidRPr="00BC3B22" w:rsidRDefault="00A97045" w:rsidP="00E47500">
            <w:pPr>
              <w:jc w:val="both"/>
              <w:rPr>
                <w:rFonts w:ascii="Book Antiqua" w:hAnsi="Book Antiqua"/>
              </w:rPr>
            </w:pPr>
            <w:r w:rsidRPr="00BC3B22">
              <w:rPr>
                <w:rFonts w:ascii="Book Antiqua" w:hAnsi="Book Antiqua"/>
              </w:rPr>
              <w:t>Will take this forward “</w:t>
            </w:r>
            <w:r w:rsidRPr="00BC3B22">
              <w:rPr>
                <w:rFonts w:ascii="Book Antiqua" w:hAnsi="Book Antiqua"/>
                <w:i/>
              </w:rPr>
              <w:t xml:space="preserve">with an adjustment to make express reference to the need for courts which are considering varying a costs cap to take account of </w:t>
            </w:r>
            <w:r w:rsidRPr="00BC3B22">
              <w:rPr>
                <w:rFonts w:ascii="Book Antiqua" w:hAnsi="Book Antiqua"/>
                <w:i/>
              </w:rPr>
              <w:lastRenderedPageBreak/>
              <w:t>court fees payable by the claimant.”</w:t>
            </w:r>
          </w:p>
        </w:tc>
      </w:tr>
      <w:tr w:rsidR="00E47500" w:rsidRPr="00BC3B22" w:rsidTr="00E47500">
        <w:tc>
          <w:tcPr>
            <w:tcW w:w="3005" w:type="dxa"/>
          </w:tcPr>
          <w:p w:rsidR="00E47500" w:rsidRPr="00BC3B22" w:rsidRDefault="00A97045" w:rsidP="00A97045">
            <w:pPr>
              <w:jc w:val="both"/>
              <w:rPr>
                <w:rFonts w:ascii="Book Antiqua" w:hAnsi="Book Antiqua"/>
              </w:rPr>
            </w:pPr>
            <w:r w:rsidRPr="00BC3B22">
              <w:rPr>
                <w:rFonts w:ascii="Book Antiqua" w:hAnsi="Book Antiqua"/>
              </w:rPr>
              <w:lastRenderedPageBreak/>
              <w:t xml:space="preserve">(6) </w:t>
            </w:r>
            <w:r w:rsidRPr="00BC3B22">
              <w:rPr>
                <w:rFonts w:ascii="Book Antiqua" w:hAnsi="Book Antiqua"/>
              </w:rPr>
              <w:t>whether default caps should be higher than current fixed  caps e.g. £10k for individuals and £20k for others</w:t>
            </w:r>
          </w:p>
        </w:tc>
        <w:tc>
          <w:tcPr>
            <w:tcW w:w="3005" w:type="dxa"/>
          </w:tcPr>
          <w:p w:rsidR="00E47500" w:rsidRPr="00BC3B22" w:rsidRDefault="00E47500" w:rsidP="00E47500">
            <w:pPr>
              <w:jc w:val="both"/>
              <w:rPr>
                <w:rFonts w:ascii="Book Antiqua" w:hAnsi="Book Antiqua"/>
              </w:rPr>
            </w:pPr>
          </w:p>
        </w:tc>
        <w:tc>
          <w:tcPr>
            <w:tcW w:w="3006" w:type="dxa"/>
          </w:tcPr>
          <w:p w:rsidR="00E47500" w:rsidRPr="00BC3B22" w:rsidRDefault="00A97045" w:rsidP="00E47500">
            <w:pPr>
              <w:jc w:val="both"/>
              <w:rPr>
                <w:rFonts w:ascii="Book Antiqua" w:hAnsi="Book Antiqua"/>
              </w:rPr>
            </w:pPr>
            <w:r w:rsidRPr="00BC3B22">
              <w:rPr>
                <w:rFonts w:ascii="Book Antiqua" w:hAnsi="Book Antiqua"/>
              </w:rPr>
              <w:t>Setting new default caps at same level as current fixed caps.</w:t>
            </w:r>
            <w:r w:rsidR="00BC3B22">
              <w:rPr>
                <w:rFonts w:ascii="Book Antiqua" w:hAnsi="Book Antiqua"/>
              </w:rPr>
              <w:t xml:space="preserve"> May review again later.</w:t>
            </w:r>
          </w:p>
        </w:tc>
      </w:tr>
      <w:tr w:rsidR="00E47500" w:rsidRPr="00BC3B22" w:rsidTr="00E47500">
        <w:tc>
          <w:tcPr>
            <w:tcW w:w="3005" w:type="dxa"/>
          </w:tcPr>
          <w:p w:rsidR="00E47500" w:rsidRPr="00BC3B22" w:rsidRDefault="00A97045" w:rsidP="00BC3B22">
            <w:pPr>
              <w:jc w:val="both"/>
              <w:rPr>
                <w:rFonts w:ascii="Book Antiqua" w:hAnsi="Book Antiqua"/>
              </w:rPr>
            </w:pPr>
            <w:r w:rsidRPr="00BC3B22">
              <w:rPr>
                <w:rFonts w:ascii="Book Antiqua" w:hAnsi="Book Antiqua"/>
              </w:rPr>
              <w:t xml:space="preserve">(7) </w:t>
            </w:r>
            <w:r w:rsidR="00BC3B22">
              <w:rPr>
                <w:rFonts w:ascii="Book Antiqua" w:hAnsi="Book Antiqua"/>
              </w:rPr>
              <w:t>c</w:t>
            </w:r>
            <w:r w:rsidRPr="00BC3B22">
              <w:rPr>
                <w:rFonts w:ascii="Book Antiqua" w:hAnsi="Book Antiqua"/>
              </w:rPr>
              <w:t>laimants required to disclose financial resources, suggests claimants be required to serve a  schedul</w:t>
            </w:r>
            <w:r w:rsidR="00BC3B22">
              <w:rPr>
                <w:rFonts w:ascii="Book Antiqua" w:hAnsi="Book Antiqua"/>
              </w:rPr>
              <w:t>e of their financial resources</w:t>
            </w:r>
          </w:p>
        </w:tc>
        <w:tc>
          <w:tcPr>
            <w:tcW w:w="3005" w:type="dxa"/>
          </w:tcPr>
          <w:p w:rsidR="00E47500" w:rsidRPr="00BC3B22" w:rsidRDefault="00E47500" w:rsidP="00E47500">
            <w:pPr>
              <w:jc w:val="both"/>
              <w:rPr>
                <w:rFonts w:ascii="Book Antiqua" w:hAnsi="Book Antiqua"/>
              </w:rPr>
            </w:pPr>
          </w:p>
        </w:tc>
        <w:tc>
          <w:tcPr>
            <w:tcW w:w="3006" w:type="dxa"/>
          </w:tcPr>
          <w:p w:rsidR="00E47500" w:rsidRPr="00BC3B22" w:rsidRDefault="00A97045" w:rsidP="00E47500">
            <w:pPr>
              <w:jc w:val="both"/>
              <w:rPr>
                <w:rFonts w:ascii="Book Antiqua" w:hAnsi="Book Antiqua"/>
              </w:rPr>
            </w:pPr>
            <w:r w:rsidRPr="00BC3B22">
              <w:rPr>
                <w:rFonts w:ascii="Book Antiqua" w:hAnsi="Book Antiqua"/>
              </w:rPr>
              <w:t>Will be taken forward “</w:t>
            </w:r>
            <w:r w:rsidRPr="00BC3B22">
              <w:rPr>
                <w:rFonts w:ascii="Book Antiqua" w:hAnsi="Book Antiqua"/>
                <w:i/>
              </w:rPr>
              <w:t>with clarification about the type of financial information which will be required.”</w:t>
            </w:r>
          </w:p>
        </w:tc>
      </w:tr>
      <w:tr w:rsidR="00E47500" w:rsidRPr="00BC3B22" w:rsidTr="00E47500">
        <w:tc>
          <w:tcPr>
            <w:tcW w:w="3005" w:type="dxa"/>
          </w:tcPr>
          <w:p w:rsidR="00E47500" w:rsidRPr="00BC3B22" w:rsidRDefault="00A97045" w:rsidP="00E47500">
            <w:pPr>
              <w:jc w:val="both"/>
              <w:rPr>
                <w:rFonts w:ascii="Book Antiqua" w:hAnsi="Book Antiqua"/>
              </w:rPr>
            </w:pPr>
            <w:r w:rsidRPr="00BC3B22">
              <w:rPr>
                <w:rFonts w:ascii="Book Antiqua" w:hAnsi="Book Antiqua"/>
              </w:rPr>
              <w:t xml:space="preserve">(8) </w:t>
            </w:r>
            <w:proofErr w:type="gramStart"/>
            <w:r w:rsidRPr="00BC3B22">
              <w:rPr>
                <w:rFonts w:ascii="Book Antiqua" w:hAnsi="Book Antiqua"/>
              </w:rPr>
              <w:t>making</w:t>
            </w:r>
            <w:proofErr w:type="gramEnd"/>
            <w:r w:rsidRPr="00BC3B22">
              <w:rPr>
                <w:rFonts w:ascii="Book Antiqua" w:hAnsi="Book Antiqua"/>
              </w:rPr>
              <w:t xml:space="preserve"> clear that where multiple claimants or defendants – a separate costs cap applied to each individual party.</w:t>
            </w:r>
          </w:p>
        </w:tc>
        <w:tc>
          <w:tcPr>
            <w:tcW w:w="3005" w:type="dxa"/>
          </w:tcPr>
          <w:p w:rsidR="00E47500" w:rsidRPr="00BC3B22" w:rsidRDefault="00BC3B22" w:rsidP="00E47500">
            <w:pPr>
              <w:jc w:val="both"/>
              <w:rPr>
                <w:rFonts w:ascii="Book Antiqua" w:hAnsi="Book Antiqua"/>
              </w:rPr>
            </w:pPr>
            <w:r w:rsidRPr="00BC3B22">
              <w:rPr>
                <w:rFonts w:ascii="Book Antiqua" w:hAnsi="Book Antiqua"/>
              </w:rPr>
              <w:t xml:space="preserve">Seeking to deal with the issue arising from </w:t>
            </w:r>
            <w:r w:rsidR="00A97045" w:rsidRPr="00BC3B22">
              <w:rPr>
                <w:rFonts w:ascii="Book Antiqua" w:hAnsi="Book Antiqua"/>
                <w:b/>
                <w:bCs/>
                <w:i/>
                <w:iCs/>
              </w:rPr>
              <w:t>R (</w:t>
            </w:r>
            <w:proofErr w:type="spellStart"/>
            <w:r w:rsidR="00A97045" w:rsidRPr="00BC3B22">
              <w:rPr>
                <w:rFonts w:ascii="Book Antiqua" w:hAnsi="Book Antiqua"/>
                <w:b/>
                <w:bCs/>
                <w:i/>
                <w:iCs/>
              </w:rPr>
              <w:t>Botley</w:t>
            </w:r>
            <w:proofErr w:type="spellEnd"/>
            <w:r w:rsidR="00A97045" w:rsidRPr="00BC3B22">
              <w:rPr>
                <w:rFonts w:ascii="Book Antiqua" w:hAnsi="Book Antiqua"/>
                <w:b/>
                <w:bCs/>
                <w:i/>
                <w:iCs/>
              </w:rPr>
              <w:t xml:space="preserve"> Parish Action Group) v Eastleigh Borough Council </w:t>
            </w:r>
            <w:r w:rsidR="00A97045" w:rsidRPr="00BC3B22">
              <w:rPr>
                <w:rFonts w:ascii="Book Antiqua" w:hAnsi="Book Antiqua"/>
              </w:rPr>
              <w:t xml:space="preserve">[2014] EWHC 4388 (Admin); </w:t>
            </w:r>
            <w:r w:rsidR="00A97045" w:rsidRPr="00BC3B22">
              <w:rPr>
                <w:rFonts w:ascii="Book Antiqua" w:hAnsi="Book Antiqua"/>
                <w:b/>
                <w:bCs/>
                <w:i/>
                <w:iCs/>
              </w:rPr>
              <w:t xml:space="preserve">R(Harris) v Broads Authority </w:t>
            </w:r>
            <w:r w:rsidR="00A97045" w:rsidRPr="00BC3B22">
              <w:rPr>
                <w:rFonts w:ascii="Book Antiqua" w:hAnsi="Book Antiqua"/>
              </w:rPr>
              <w:t xml:space="preserve">[2016] EWHC 799 (Admin); </w:t>
            </w:r>
            <w:r w:rsidR="00A97045" w:rsidRPr="00BC3B22">
              <w:rPr>
                <w:rFonts w:ascii="Book Antiqua" w:hAnsi="Book Antiqua"/>
                <w:b/>
                <w:bCs/>
                <w:i/>
                <w:iCs/>
              </w:rPr>
              <w:t>R (</w:t>
            </w:r>
            <w:proofErr w:type="spellStart"/>
            <w:r w:rsidR="00A97045" w:rsidRPr="00BC3B22">
              <w:rPr>
                <w:rFonts w:ascii="Book Antiqua" w:hAnsi="Book Antiqua"/>
                <w:b/>
                <w:bCs/>
                <w:i/>
                <w:iCs/>
              </w:rPr>
              <w:t>Birchall</w:t>
            </w:r>
            <w:proofErr w:type="spellEnd"/>
            <w:r w:rsidR="00A97045" w:rsidRPr="00BC3B22">
              <w:rPr>
                <w:rFonts w:ascii="Book Antiqua" w:hAnsi="Book Antiqua"/>
                <w:b/>
                <w:bCs/>
                <w:i/>
                <w:iCs/>
              </w:rPr>
              <w:t xml:space="preserve"> Garden Suburb) v Hertfordshire CC </w:t>
            </w:r>
            <w:r w:rsidR="00A97045" w:rsidRPr="00BC3B22">
              <w:rPr>
                <w:rFonts w:ascii="Book Antiqua" w:hAnsi="Book Antiqua"/>
              </w:rPr>
              <w:t>[2016] EWHC 2794 (Admin).</w:t>
            </w:r>
          </w:p>
        </w:tc>
        <w:tc>
          <w:tcPr>
            <w:tcW w:w="3006" w:type="dxa"/>
          </w:tcPr>
          <w:p w:rsidR="00E47500" w:rsidRPr="00BC3B22" w:rsidRDefault="00A97045" w:rsidP="00E47500">
            <w:pPr>
              <w:jc w:val="both"/>
              <w:rPr>
                <w:rFonts w:ascii="Book Antiqua" w:hAnsi="Book Antiqua"/>
              </w:rPr>
            </w:pPr>
            <w:r w:rsidRPr="00BC3B22">
              <w:rPr>
                <w:rFonts w:ascii="Book Antiqua" w:hAnsi="Book Antiqua"/>
              </w:rPr>
              <w:t>To be taken forward</w:t>
            </w:r>
          </w:p>
        </w:tc>
      </w:tr>
      <w:tr w:rsidR="00E47500" w:rsidRPr="00BC3B22" w:rsidTr="00A97045">
        <w:trPr>
          <w:trHeight w:val="3075"/>
        </w:trPr>
        <w:tc>
          <w:tcPr>
            <w:tcW w:w="3005" w:type="dxa"/>
          </w:tcPr>
          <w:p w:rsidR="00E47500" w:rsidRPr="00BC3B22" w:rsidRDefault="00A97045" w:rsidP="00E47500">
            <w:pPr>
              <w:jc w:val="both"/>
              <w:rPr>
                <w:rFonts w:ascii="Book Antiqua" w:hAnsi="Book Antiqua"/>
              </w:rPr>
            </w:pPr>
            <w:r w:rsidRPr="00BC3B22">
              <w:rPr>
                <w:rFonts w:ascii="Book Antiqua" w:hAnsi="Book Antiqua"/>
              </w:rPr>
              <w:t xml:space="preserve">(9) Removing rule on indemnity </w:t>
            </w:r>
            <w:r w:rsidR="00BC3B22">
              <w:rPr>
                <w:rFonts w:ascii="Book Antiqua" w:hAnsi="Book Antiqua"/>
              </w:rPr>
              <w:t>costs where defendant</w:t>
            </w:r>
            <w:r w:rsidRPr="00BC3B22">
              <w:rPr>
                <w:rFonts w:ascii="Book Antiqua" w:hAnsi="Book Antiqua"/>
              </w:rPr>
              <w:t xml:space="preserve"> challenges if claim is an Aarhus claim and loses</w:t>
            </w:r>
          </w:p>
        </w:tc>
        <w:tc>
          <w:tcPr>
            <w:tcW w:w="3005" w:type="dxa"/>
          </w:tcPr>
          <w:p w:rsidR="00E47500" w:rsidRPr="00BC3B22" w:rsidRDefault="00E47500" w:rsidP="00E47500">
            <w:pPr>
              <w:jc w:val="both"/>
              <w:rPr>
                <w:rFonts w:ascii="Book Antiqua" w:hAnsi="Book Antiqua"/>
              </w:rPr>
            </w:pPr>
          </w:p>
        </w:tc>
        <w:tc>
          <w:tcPr>
            <w:tcW w:w="3006" w:type="dxa"/>
          </w:tcPr>
          <w:p w:rsidR="00BC3B22" w:rsidRDefault="00BC3B22" w:rsidP="00E47500">
            <w:pPr>
              <w:jc w:val="both"/>
              <w:rPr>
                <w:rFonts w:ascii="Book Antiqua" w:hAnsi="Book Antiqua"/>
              </w:rPr>
            </w:pPr>
            <w:r>
              <w:rPr>
                <w:rFonts w:ascii="Book Antiqua" w:hAnsi="Book Antiqua"/>
              </w:rPr>
              <w:t>Will take forward</w:t>
            </w:r>
          </w:p>
          <w:p w:rsidR="00E47500" w:rsidRPr="00BC3B22" w:rsidRDefault="00A97045" w:rsidP="00E47500">
            <w:pPr>
              <w:jc w:val="both"/>
              <w:rPr>
                <w:rFonts w:ascii="Book Antiqua" w:hAnsi="Book Antiqua"/>
                <w:i/>
              </w:rPr>
            </w:pPr>
            <w:r w:rsidRPr="00BC3B22">
              <w:rPr>
                <w:rFonts w:ascii="Book Antiqua" w:hAnsi="Book Antiqua"/>
                <w:i/>
              </w:rPr>
              <w:t>“The government is of the view that this has created an uneven playing field, and now considers it necessary to equalise the position. It proposes replacing the existing provision with one which would mean unsuccessful defendants could still expect to be ordered to pay costs, but normally on the lower, ‘standard’ basis.”</w:t>
            </w:r>
          </w:p>
        </w:tc>
      </w:tr>
      <w:tr w:rsidR="00A97045" w:rsidRPr="00BC3B22" w:rsidTr="00E47500">
        <w:tc>
          <w:tcPr>
            <w:tcW w:w="3005" w:type="dxa"/>
          </w:tcPr>
          <w:p w:rsidR="00A97045" w:rsidRPr="00BC3B22" w:rsidRDefault="00A97045" w:rsidP="00A97045">
            <w:pPr>
              <w:jc w:val="both"/>
              <w:rPr>
                <w:rFonts w:ascii="Book Antiqua" w:hAnsi="Book Antiqua"/>
              </w:rPr>
            </w:pPr>
            <w:r w:rsidRPr="00BC3B22">
              <w:rPr>
                <w:rFonts w:ascii="Book Antiqua" w:hAnsi="Book Antiqua"/>
              </w:rPr>
              <w:t>(10) Introduce specific costs rules for applications to vary costs caps</w:t>
            </w:r>
          </w:p>
        </w:tc>
        <w:tc>
          <w:tcPr>
            <w:tcW w:w="3005" w:type="dxa"/>
          </w:tcPr>
          <w:p w:rsidR="00A97045" w:rsidRPr="00BC3B22" w:rsidRDefault="00A97045" w:rsidP="00E47500">
            <w:pPr>
              <w:jc w:val="both"/>
              <w:rPr>
                <w:rFonts w:ascii="Book Antiqua" w:hAnsi="Book Antiqua"/>
              </w:rPr>
            </w:pPr>
          </w:p>
        </w:tc>
        <w:tc>
          <w:tcPr>
            <w:tcW w:w="3006" w:type="dxa"/>
          </w:tcPr>
          <w:p w:rsidR="00A97045" w:rsidRPr="00BC3B22" w:rsidRDefault="00A97045" w:rsidP="00E47500">
            <w:pPr>
              <w:jc w:val="both"/>
              <w:rPr>
                <w:rFonts w:ascii="Book Antiqua" w:hAnsi="Book Antiqua"/>
              </w:rPr>
            </w:pPr>
            <w:r w:rsidRPr="00BC3B22">
              <w:rPr>
                <w:rFonts w:ascii="Book Antiqua" w:hAnsi="Book Antiqua"/>
              </w:rPr>
              <w:t>Not to be taken forward</w:t>
            </w:r>
          </w:p>
        </w:tc>
      </w:tr>
      <w:tr w:rsidR="00A97045" w:rsidRPr="00BC3B22" w:rsidTr="00E47500">
        <w:tc>
          <w:tcPr>
            <w:tcW w:w="3005" w:type="dxa"/>
          </w:tcPr>
          <w:p w:rsidR="00A97045" w:rsidRPr="00BC3B22" w:rsidRDefault="00A97045" w:rsidP="00A97045">
            <w:pPr>
              <w:jc w:val="both"/>
              <w:rPr>
                <w:rFonts w:ascii="Book Antiqua" w:hAnsi="Book Antiqua"/>
              </w:rPr>
            </w:pPr>
            <w:r w:rsidRPr="00BC3B22">
              <w:rPr>
                <w:rFonts w:ascii="Book Antiqua" w:hAnsi="Book Antiqua"/>
              </w:rPr>
              <w:t xml:space="preserve">(11) Cross-undertakings in damages – amend PD so that Court applies </w:t>
            </w:r>
            <w:r w:rsidRPr="00BC3B22">
              <w:rPr>
                <w:rFonts w:ascii="Book Antiqua" w:hAnsi="Book Antiqua"/>
                <w:b/>
                <w:i/>
              </w:rPr>
              <w:t xml:space="preserve">Edwards </w:t>
            </w:r>
            <w:r w:rsidRPr="00BC3B22">
              <w:rPr>
                <w:rFonts w:ascii="Book Antiqua" w:hAnsi="Book Antiqua"/>
              </w:rPr>
              <w:t>principles in deciding of such an undertaking wou</w:t>
            </w:r>
            <w:bookmarkStart w:id="0" w:name="_GoBack"/>
            <w:bookmarkEnd w:id="0"/>
            <w:r w:rsidRPr="00BC3B22">
              <w:rPr>
                <w:rFonts w:ascii="Book Antiqua" w:hAnsi="Book Antiqua"/>
              </w:rPr>
              <w:t>ld result in prohibitive expense</w:t>
            </w:r>
          </w:p>
        </w:tc>
        <w:tc>
          <w:tcPr>
            <w:tcW w:w="3005" w:type="dxa"/>
          </w:tcPr>
          <w:p w:rsidR="00A97045" w:rsidRPr="00BC3B22" w:rsidRDefault="00A97045" w:rsidP="00E47500">
            <w:pPr>
              <w:jc w:val="both"/>
              <w:rPr>
                <w:rFonts w:ascii="Book Antiqua" w:hAnsi="Book Antiqua"/>
              </w:rPr>
            </w:pPr>
          </w:p>
        </w:tc>
        <w:tc>
          <w:tcPr>
            <w:tcW w:w="3006" w:type="dxa"/>
          </w:tcPr>
          <w:p w:rsidR="00A97045" w:rsidRPr="00BC3B22" w:rsidRDefault="00BC3B22" w:rsidP="00BC3B22">
            <w:pPr>
              <w:jc w:val="both"/>
              <w:rPr>
                <w:rFonts w:ascii="Book Antiqua" w:hAnsi="Book Antiqua"/>
              </w:rPr>
            </w:pPr>
            <w:r w:rsidRPr="00BC3B22">
              <w:rPr>
                <w:rFonts w:ascii="Book Antiqua" w:hAnsi="Book Antiqua"/>
              </w:rPr>
              <w:t xml:space="preserve">Will be taken forward </w:t>
            </w:r>
            <w:r w:rsidRPr="00BC3B22">
              <w:rPr>
                <w:rFonts w:ascii="Book Antiqua" w:hAnsi="Book Antiqua"/>
                <w:i/>
              </w:rPr>
              <w:t>“subject to clarifying what is meant by the term ‘member of the public”</w:t>
            </w:r>
          </w:p>
        </w:tc>
      </w:tr>
    </w:tbl>
    <w:p w:rsidR="00A97045" w:rsidRPr="00BC3B22" w:rsidRDefault="00A97045" w:rsidP="00E47500">
      <w:pPr>
        <w:jc w:val="both"/>
        <w:rPr>
          <w:rFonts w:ascii="Book Antiqua" w:hAnsi="Book Antiqua"/>
        </w:rPr>
      </w:pPr>
    </w:p>
    <w:p w:rsidR="00A97045" w:rsidRPr="00BC3B22" w:rsidRDefault="00A97045">
      <w:pPr>
        <w:rPr>
          <w:rFonts w:ascii="Book Antiqua" w:hAnsi="Book Antiqua"/>
        </w:rPr>
      </w:pPr>
      <w:r w:rsidRPr="00BC3B22">
        <w:rPr>
          <w:rFonts w:ascii="Book Antiqua" w:hAnsi="Book Antiqua"/>
        </w:rPr>
        <w:br w:type="page"/>
      </w:r>
    </w:p>
    <w:sectPr w:rsidR="00A97045" w:rsidRPr="00BC3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00"/>
    <w:rsid w:val="00352DB0"/>
    <w:rsid w:val="00A97045"/>
    <w:rsid w:val="00BC3B22"/>
    <w:rsid w:val="00E47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DD1B4-D482-485F-B3AA-1FB114AE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Maurici</dc:creator>
  <cp:keywords/>
  <dc:description/>
  <cp:lastModifiedBy>James Maurici</cp:lastModifiedBy>
  <cp:revision>1</cp:revision>
  <cp:lastPrinted>2016-11-18T08:40:00Z</cp:lastPrinted>
  <dcterms:created xsi:type="dcterms:W3CDTF">2016-11-18T08:18:00Z</dcterms:created>
  <dcterms:modified xsi:type="dcterms:W3CDTF">2016-11-18T08:44:00Z</dcterms:modified>
</cp:coreProperties>
</file>